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02CA" w14:textId="77777777" w:rsidR="00552D38" w:rsidRDefault="00B03AD8" w:rsidP="00B03AD8">
      <w:pPr>
        <w:jc w:val="center"/>
        <w:rPr>
          <w:rStyle w:val="SubtleReference"/>
          <w:color w:val="auto"/>
          <w:sz w:val="28"/>
          <w:szCs w:val="28"/>
        </w:rPr>
      </w:pPr>
      <w:r>
        <w:rPr>
          <w:rStyle w:val="SubtleReference"/>
          <w:noProof/>
          <w:color w:val="auto"/>
          <w:sz w:val="28"/>
          <w:szCs w:val="28"/>
        </w:rPr>
        <w:drawing>
          <wp:inline distT="0" distB="0" distL="0" distR="0" wp14:anchorId="70BE77CB" wp14:editId="5606ACA4">
            <wp:extent cx="1645920" cy="1741247"/>
            <wp:effectExtent l="0" t="0" r="5080" b="11430"/>
            <wp:docPr id="1" name="Picture 1" descr="../../../../../../../Pictures/Photos%20Library.photoslibrary/resources/media/version/00/00/fullsizeoutput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edia/version/00/00/fullsizeoutput_18"/>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45920" cy="1741247"/>
                    </a:xfrm>
                    <a:prstGeom prst="rect">
                      <a:avLst/>
                    </a:prstGeom>
                    <a:noFill/>
                    <a:ln>
                      <a:noFill/>
                    </a:ln>
                  </pic:spPr>
                </pic:pic>
              </a:graphicData>
            </a:graphic>
          </wp:inline>
        </w:drawing>
      </w:r>
    </w:p>
    <w:p w14:paraId="36E1D673" w14:textId="77777777" w:rsidR="008D5C12" w:rsidRPr="007F3ECA" w:rsidRDefault="008D5C12" w:rsidP="00A614B6">
      <w:pPr>
        <w:rPr>
          <w:rStyle w:val="SubtleEmphasis"/>
          <w:i w:val="0"/>
          <w:iCs w:val="0"/>
          <w:smallCaps/>
          <w:color w:val="auto"/>
          <w:sz w:val="32"/>
          <w:szCs w:val="32"/>
        </w:rPr>
      </w:pPr>
      <w:r w:rsidRPr="007F3ECA">
        <w:rPr>
          <w:rStyle w:val="SubtleEmphasis"/>
          <w:i w:val="0"/>
          <w:noProof/>
          <w:sz w:val="20"/>
          <w:szCs w:val="20"/>
        </w:rPr>
        <mc:AlternateContent>
          <mc:Choice Requires="wps">
            <w:drawing>
              <wp:anchor distT="45720" distB="45720" distL="114300" distR="114300" simplePos="0" relativeHeight="251659264" behindDoc="0" locked="0" layoutInCell="1" allowOverlap="1" wp14:anchorId="591A0032" wp14:editId="5586583A">
                <wp:simplePos x="0" y="0"/>
                <wp:positionH relativeFrom="margin">
                  <wp:posOffset>0</wp:posOffset>
                </wp:positionH>
                <wp:positionV relativeFrom="paragraph">
                  <wp:posOffset>43960</wp:posOffset>
                </wp:positionV>
                <wp:extent cx="5924550" cy="238259"/>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8259"/>
                        </a:xfrm>
                        <a:prstGeom prst="rect">
                          <a:avLst/>
                        </a:prstGeom>
                        <a:noFill/>
                        <a:ln w="9525">
                          <a:solidFill>
                            <a:srgbClr val="000000"/>
                          </a:solidFill>
                          <a:miter lim="800000"/>
                          <a:headEnd/>
                          <a:tailEnd/>
                        </a:ln>
                      </wps:spPr>
                      <wps:txbx>
                        <w:txbxContent>
                          <w:p w14:paraId="63786143" w14:textId="734FE17D" w:rsidR="007F3ECA" w:rsidRPr="00B03AD8" w:rsidRDefault="007F3ECA" w:rsidP="007F3ECA">
                            <w:pPr>
                              <w:jc w:val="center"/>
                              <w:rPr>
                                <w:color w:val="000000" w:themeColor="text1"/>
                                <w:sz w:val="22"/>
                              </w:rPr>
                            </w:pPr>
                            <w:r w:rsidRPr="00B03AD8">
                              <w:rPr>
                                <w:rStyle w:val="SubtleReference"/>
                                <w:smallCaps w:val="0"/>
                                <w:color w:val="000000" w:themeColor="text1"/>
                                <w:sz w:val="22"/>
                              </w:rPr>
                              <w:t xml:space="preserve">165 West Central Avenue, Coldwater, </w:t>
                            </w:r>
                            <w:proofErr w:type="spellStart"/>
                            <w:r w:rsidRPr="00B03AD8">
                              <w:rPr>
                                <w:rStyle w:val="SubtleReference"/>
                                <w:smallCaps w:val="0"/>
                                <w:color w:val="000000" w:themeColor="text1"/>
                                <w:sz w:val="22"/>
                              </w:rPr>
                              <w:t>Ms</w:t>
                            </w:r>
                            <w:proofErr w:type="spellEnd"/>
                            <w:r w:rsidRPr="00B03AD8">
                              <w:rPr>
                                <w:rStyle w:val="SubtleReference"/>
                                <w:smallCaps w:val="0"/>
                                <w:color w:val="000000" w:themeColor="text1"/>
                                <w:sz w:val="22"/>
                              </w:rPr>
                              <w:t xml:space="preserve"> </w:t>
                            </w:r>
                            <w:r w:rsidR="00D02853">
                              <w:rPr>
                                <w:rStyle w:val="SubtleReference"/>
                                <w:smallCaps w:val="0"/>
                                <w:color w:val="000000" w:themeColor="text1"/>
                                <w:sz w:val="22"/>
                              </w:rPr>
                              <w:t>38618</w:t>
                            </w:r>
                            <w:r w:rsidR="00D02853" w:rsidRPr="00B03AD8">
                              <w:rPr>
                                <w:rStyle w:val="SubtleReference"/>
                                <w:smallCaps w:val="0"/>
                                <w:color w:val="000000" w:themeColor="text1"/>
                                <w:sz w:val="22"/>
                              </w:rPr>
                              <w:t xml:space="preserve"> *</w:t>
                            </w:r>
                            <w:r w:rsidRPr="00B03AD8">
                              <w:rPr>
                                <w:rStyle w:val="SubtleReference"/>
                                <w:smallCaps w:val="0"/>
                                <w:color w:val="000000" w:themeColor="text1"/>
                                <w:sz w:val="22"/>
                              </w:rPr>
                              <w:t xml:space="preserve">  662-622-5142  *  662-622-7005 fax</w:t>
                            </w:r>
                          </w:p>
                          <w:p w14:paraId="1C384273" w14:textId="77777777" w:rsidR="007F3ECA" w:rsidRPr="00B03AD8" w:rsidRDefault="007F3EC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A0032" id="_x0000_t202" coordsize="21600,21600" o:spt="202" path="m,l,21600r21600,l21600,xe">
                <v:stroke joinstyle="miter"/>
                <v:path gradientshapeok="t" o:connecttype="rect"/>
              </v:shapetype>
              <v:shape id="Text Box 2" o:spid="_x0000_s1026" type="#_x0000_t202" style="position:absolute;margin-left:0;margin-top:3.45pt;width:466.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" filled="f">
                <v:textbox>
                  <w:txbxContent>
                    <w:p w14:paraId="63786143" w14:textId="734FE17D" w:rsidR="007F3ECA" w:rsidRPr="00B03AD8" w:rsidRDefault="007F3ECA" w:rsidP="007F3ECA">
                      <w:pPr>
                        <w:jc w:val="center"/>
                        <w:rPr>
                          <w:color w:val="000000" w:themeColor="text1"/>
                          <w:sz w:val="22"/>
                        </w:rPr>
                      </w:pPr>
                      <w:r w:rsidRPr="00B03AD8">
                        <w:rPr>
                          <w:rStyle w:val="SubtleReference"/>
                          <w:smallCaps w:val="0"/>
                          <w:color w:val="000000" w:themeColor="text1"/>
                          <w:sz w:val="22"/>
                        </w:rPr>
                        <w:t xml:space="preserve">165 West Central Avenue, Coldwater, </w:t>
                      </w:r>
                      <w:proofErr w:type="spellStart"/>
                      <w:r w:rsidRPr="00B03AD8">
                        <w:rPr>
                          <w:rStyle w:val="SubtleReference"/>
                          <w:smallCaps w:val="0"/>
                          <w:color w:val="000000" w:themeColor="text1"/>
                          <w:sz w:val="22"/>
                        </w:rPr>
                        <w:t>Ms</w:t>
                      </w:r>
                      <w:proofErr w:type="spellEnd"/>
                      <w:r w:rsidRPr="00B03AD8">
                        <w:rPr>
                          <w:rStyle w:val="SubtleReference"/>
                          <w:smallCaps w:val="0"/>
                          <w:color w:val="000000" w:themeColor="text1"/>
                          <w:sz w:val="22"/>
                        </w:rPr>
                        <w:t xml:space="preserve"> </w:t>
                      </w:r>
                      <w:r w:rsidR="00D02853">
                        <w:rPr>
                          <w:rStyle w:val="SubtleReference"/>
                          <w:smallCaps w:val="0"/>
                          <w:color w:val="000000" w:themeColor="text1"/>
                          <w:sz w:val="22"/>
                        </w:rPr>
                        <w:t>38618</w:t>
                      </w:r>
                      <w:r w:rsidR="00D02853" w:rsidRPr="00B03AD8">
                        <w:rPr>
                          <w:rStyle w:val="SubtleReference"/>
                          <w:smallCaps w:val="0"/>
                          <w:color w:val="000000" w:themeColor="text1"/>
                          <w:sz w:val="22"/>
                        </w:rPr>
                        <w:t xml:space="preserve"> *</w:t>
                      </w:r>
                      <w:r w:rsidRPr="00B03AD8">
                        <w:rPr>
                          <w:rStyle w:val="SubtleReference"/>
                          <w:smallCaps w:val="0"/>
                          <w:color w:val="000000" w:themeColor="text1"/>
                          <w:sz w:val="22"/>
                        </w:rPr>
                        <w:t xml:space="preserve">  662-622-5142  *  662-622-7005 fax</w:t>
                      </w:r>
                    </w:p>
                    <w:p w14:paraId="1C384273" w14:textId="77777777" w:rsidR="007F3ECA" w:rsidRPr="00B03AD8" w:rsidRDefault="007F3ECA">
                      <w:pPr>
                        <w:rPr>
                          <w:color w:val="000000" w:themeColor="text1"/>
                        </w:rPr>
                      </w:pPr>
                    </w:p>
                  </w:txbxContent>
                </v:textbox>
                <w10:wrap anchorx="margin"/>
              </v:shape>
            </w:pict>
          </mc:Fallback>
        </mc:AlternateContent>
      </w:r>
    </w:p>
    <w:p w14:paraId="10ECD62B" w14:textId="77777777" w:rsidR="007F3ECA" w:rsidRDefault="007F3ECA" w:rsidP="005A0F53">
      <w:pPr>
        <w:ind w:right="-180"/>
        <w:rPr>
          <w:rStyle w:val="SubtleEmphasis"/>
          <w:sz w:val="20"/>
          <w:szCs w:val="20"/>
        </w:rPr>
      </w:pPr>
    </w:p>
    <w:p w14:paraId="68E0E1AC" w14:textId="77777777" w:rsidR="00552D38" w:rsidRPr="005743A9" w:rsidRDefault="00B03AD8" w:rsidP="005A0F53">
      <w:pPr>
        <w:ind w:right="-180"/>
        <w:rPr>
          <w:rStyle w:val="SubtleEmphasis"/>
          <w:sz w:val="20"/>
          <w:szCs w:val="20"/>
        </w:rPr>
      </w:pPr>
      <w:r>
        <w:rPr>
          <w:rStyle w:val="SubtleEmphasis"/>
          <w:sz w:val="20"/>
          <w:szCs w:val="20"/>
        </w:rPr>
        <w:t>Charles Floyd</w:t>
      </w:r>
      <w:r w:rsidR="005A0F53" w:rsidRPr="005743A9">
        <w:rPr>
          <w:rStyle w:val="SubtleEmphasis"/>
          <w:sz w:val="20"/>
          <w:szCs w:val="20"/>
        </w:rPr>
        <w:t>,</w:t>
      </w:r>
      <w:r w:rsidR="00874A09" w:rsidRPr="005743A9">
        <w:rPr>
          <w:rStyle w:val="SubtleEmphasis"/>
          <w:sz w:val="20"/>
          <w:szCs w:val="20"/>
        </w:rPr>
        <w:t xml:space="preserve">       </w:t>
      </w:r>
      <w:r>
        <w:rPr>
          <w:rStyle w:val="SubtleEmphasis"/>
          <w:sz w:val="20"/>
          <w:szCs w:val="20"/>
        </w:rPr>
        <w:tab/>
      </w:r>
      <w:r w:rsidR="000233EB" w:rsidRPr="005743A9">
        <w:rPr>
          <w:rStyle w:val="SubtleEmphasis"/>
          <w:sz w:val="20"/>
          <w:szCs w:val="20"/>
        </w:rPr>
        <w:t xml:space="preserve">     </w:t>
      </w:r>
      <w:r w:rsidR="005A0F53" w:rsidRPr="005743A9">
        <w:rPr>
          <w:rStyle w:val="SubtleEmphasis"/>
          <w:sz w:val="20"/>
          <w:szCs w:val="20"/>
        </w:rPr>
        <w:t xml:space="preserve">  </w:t>
      </w:r>
      <w:r w:rsidR="00874A09" w:rsidRPr="005743A9">
        <w:rPr>
          <w:rStyle w:val="SubtleEmphasis"/>
          <w:sz w:val="20"/>
          <w:szCs w:val="20"/>
        </w:rPr>
        <w:tab/>
        <w:t xml:space="preserve">  </w:t>
      </w:r>
      <w:r w:rsidR="00874A09" w:rsidRPr="005743A9">
        <w:rPr>
          <w:rStyle w:val="SubtleEmphasis"/>
          <w:sz w:val="20"/>
          <w:szCs w:val="20"/>
        </w:rPr>
        <w:tab/>
      </w:r>
      <w:r w:rsidR="000233EB" w:rsidRPr="005743A9">
        <w:rPr>
          <w:rStyle w:val="SubtleEmphasis"/>
          <w:sz w:val="20"/>
          <w:szCs w:val="20"/>
        </w:rPr>
        <w:t xml:space="preserve">      Blair Stallings,</w:t>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r>
      <w:r w:rsidR="000233EB" w:rsidRPr="005743A9">
        <w:rPr>
          <w:rStyle w:val="SubtleEmphasis"/>
          <w:sz w:val="20"/>
          <w:szCs w:val="20"/>
        </w:rPr>
        <w:t xml:space="preserve">  Misty Lacefield,</w:t>
      </w:r>
    </w:p>
    <w:p w14:paraId="163E6A37" w14:textId="77777777" w:rsidR="00874A09" w:rsidRPr="005743A9" w:rsidRDefault="005A0F53" w:rsidP="000233EB">
      <w:pPr>
        <w:ind w:left="-270" w:right="-180"/>
        <w:rPr>
          <w:rStyle w:val="SubtleEmphasis"/>
          <w:sz w:val="20"/>
          <w:szCs w:val="20"/>
        </w:rPr>
      </w:pPr>
      <w:r w:rsidRPr="005743A9">
        <w:rPr>
          <w:rStyle w:val="SubtleEmphasis"/>
          <w:sz w:val="20"/>
          <w:szCs w:val="20"/>
        </w:rPr>
        <w:t xml:space="preserve">     </w:t>
      </w:r>
      <w:r w:rsidR="00747438" w:rsidRPr="005743A9">
        <w:rPr>
          <w:rStyle w:val="SubtleEmphasis"/>
          <w:sz w:val="20"/>
          <w:szCs w:val="20"/>
        </w:rPr>
        <w:t>Director</w:t>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t xml:space="preserve">  </w:t>
      </w:r>
      <w:r w:rsidR="00B03AD8">
        <w:rPr>
          <w:rStyle w:val="SubtleEmphasis"/>
          <w:sz w:val="20"/>
          <w:szCs w:val="20"/>
        </w:rPr>
        <w:t xml:space="preserve">  </w:t>
      </w:r>
      <w:r w:rsidR="000233EB" w:rsidRPr="005743A9">
        <w:rPr>
          <w:rStyle w:val="SubtleEmphasis"/>
          <w:sz w:val="20"/>
          <w:szCs w:val="20"/>
        </w:rPr>
        <w:t xml:space="preserve"> Counselor</w:t>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r>
      <w:r w:rsidR="00874A09" w:rsidRPr="005743A9">
        <w:rPr>
          <w:rStyle w:val="SubtleEmphasis"/>
          <w:sz w:val="20"/>
          <w:szCs w:val="20"/>
        </w:rPr>
        <w:tab/>
      </w:r>
      <w:r w:rsidR="000233EB" w:rsidRPr="005743A9">
        <w:rPr>
          <w:rStyle w:val="SubtleEmphasis"/>
          <w:sz w:val="20"/>
          <w:szCs w:val="20"/>
        </w:rPr>
        <w:t xml:space="preserve"> Student Services</w:t>
      </w:r>
    </w:p>
    <w:p w14:paraId="737D7494" w14:textId="77777777" w:rsidR="00874A09" w:rsidRPr="005B7090" w:rsidRDefault="00874A09" w:rsidP="005B7090">
      <w:pPr>
        <w:ind w:right="-180"/>
        <w:rPr>
          <w:rStyle w:val="SubtleEmphasis"/>
          <w:i w:val="0"/>
          <w:szCs w:val="24"/>
        </w:rPr>
      </w:pPr>
    </w:p>
    <w:p w14:paraId="16A190B5" w14:textId="77777777" w:rsidR="00D02853" w:rsidRPr="002031BB" w:rsidRDefault="00D02853" w:rsidP="00760F77">
      <w:pPr>
        <w:jc w:val="center"/>
        <w:rPr>
          <w:sz w:val="28"/>
          <w:szCs w:val="28"/>
        </w:rPr>
      </w:pPr>
      <w:r w:rsidRPr="002031BB">
        <w:rPr>
          <w:sz w:val="28"/>
          <w:szCs w:val="28"/>
        </w:rPr>
        <w:t>Application and Acceptance Process</w:t>
      </w:r>
    </w:p>
    <w:p w14:paraId="4F391F7C" w14:textId="77777777" w:rsidR="00D02853" w:rsidRPr="002031BB" w:rsidRDefault="00D02853" w:rsidP="00D02853">
      <w:pPr>
        <w:jc w:val="center"/>
        <w:rPr>
          <w:sz w:val="28"/>
          <w:szCs w:val="28"/>
        </w:rPr>
      </w:pPr>
    </w:p>
    <w:p w14:paraId="5D79A692" w14:textId="77777777" w:rsidR="00D02853" w:rsidRPr="002031BB" w:rsidRDefault="00D02853" w:rsidP="00D02853">
      <w:pPr>
        <w:pStyle w:val="ListParagraph"/>
        <w:numPr>
          <w:ilvl w:val="0"/>
          <w:numId w:val="1"/>
        </w:numPr>
        <w:rPr>
          <w:sz w:val="28"/>
          <w:szCs w:val="28"/>
        </w:rPr>
      </w:pPr>
      <w:r w:rsidRPr="002031BB">
        <w:rPr>
          <w:sz w:val="28"/>
          <w:szCs w:val="28"/>
        </w:rPr>
        <w:t>Students tour the CTC in January to see the programs offered.</w:t>
      </w:r>
    </w:p>
    <w:p w14:paraId="1EF816AB" w14:textId="77777777" w:rsidR="00D02853" w:rsidRPr="002031BB" w:rsidRDefault="00D02853" w:rsidP="00D02853">
      <w:pPr>
        <w:pStyle w:val="ListParagraph"/>
        <w:numPr>
          <w:ilvl w:val="0"/>
          <w:numId w:val="1"/>
        </w:numPr>
        <w:rPr>
          <w:sz w:val="28"/>
          <w:szCs w:val="28"/>
        </w:rPr>
      </w:pPr>
      <w:r w:rsidRPr="002031BB">
        <w:rPr>
          <w:sz w:val="28"/>
          <w:szCs w:val="28"/>
        </w:rPr>
        <w:t>The CTC Counselor and SSC visit the schools in January-February to answer any questions students may have and have interested students complete an application.</w:t>
      </w:r>
    </w:p>
    <w:p w14:paraId="2E8A599E" w14:textId="77777777" w:rsidR="00D02853" w:rsidRPr="002031BB" w:rsidRDefault="00D02853" w:rsidP="00D02853">
      <w:pPr>
        <w:pStyle w:val="ListParagraph"/>
        <w:numPr>
          <w:ilvl w:val="0"/>
          <w:numId w:val="1"/>
        </w:numPr>
        <w:rPr>
          <w:sz w:val="28"/>
          <w:szCs w:val="28"/>
        </w:rPr>
      </w:pPr>
      <w:r w:rsidRPr="002031BB">
        <w:rPr>
          <w:sz w:val="28"/>
          <w:szCs w:val="28"/>
        </w:rPr>
        <w:t>After gathering applications, the CTC Counselor and SSC print historical grades, discipline, and attendance records for review by the CTC Director.</w:t>
      </w:r>
    </w:p>
    <w:p w14:paraId="0C9CBE6B" w14:textId="221D181D" w:rsidR="00D02853" w:rsidRPr="002031BB" w:rsidRDefault="00D02853" w:rsidP="00D02853">
      <w:pPr>
        <w:pStyle w:val="ListParagraph"/>
        <w:numPr>
          <w:ilvl w:val="0"/>
          <w:numId w:val="1"/>
        </w:numPr>
        <w:rPr>
          <w:sz w:val="28"/>
          <w:szCs w:val="28"/>
        </w:rPr>
      </w:pPr>
      <w:r>
        <w:rPr>
          <w:sz w:val="28"/>
          <w:szCs w:val="28"/>
        </w:rPr>
        <w:t xml:space="preserve">Accepted </w:t>
      </w:r>
      <w:r w:rsidRPr="002031BB">
        <w:rPr>
          <w:sz w:val="28"/>
          <w:szCs w:val="28"/>
        </w:rPr>
        <w:t>Students are then placed in their first choice of program, if possible.</w:t>
      </w:r>
    </w:p>
    <w:p w14:paraId="7441D54D" w14:textId="0BDA760D" w:rsidR="00D02853" w:rsidRPr="002031BB" w:rsidRDefault="00D02853" w:rsidP="00D02853">
      <w:pPr>
        <w:pStyle w:val="ListParagraph"/>
        <w:numPr>
          <w:ilvl w:val="0"/>
          <w:numId w:val="1"/>
        </w:numPr>
        <w:rPr>
          <w:sz w:val="28"/>
          <w:szCs w:val="28"/>
        </w:rPr>
      </w:pPr>
      <w:r w:rsidRPr="002031BB">
        <w:rPr>
          <w:sz w:val="28"/>
          <w:szCs w:val="28"/>
        </w:rPr>
        <w:t xml:space="preserve">If the </w:t>
      </w:r>
      <w:r>
        <w:rPr>
          <w:sz w:val="28"/>
          <w:szCs w:val="28"/>
        </w:rPr>
        <w:t xml:space="preserve">accepted </w:t>
      </w:r>
      <w:r w:rsidRPr="002031BB">
        <w:rPr>
          <w:sz w:val="28"/>
          <w:szCs w:val="28"/>
        </w:rPr>
        <w:t xml:space="preserve">student’s first choice is full, they will be placed in their second choice. </w:t>
      </w:r>
    </w:p>
    <w:p w14:paraId="1CA0E149" w14:textId="77777777" w:rsidR="00D02853" w:rsidRPr="002031BB" w:rsidRDefault="00D02853" w:rsidP="00D02853">
      <w:pPr>
        <w:pStyle w:val="ListParagraph"/>
        <w:numPr>
          <w:ilvl w:val="0"/>
          <w:numId w:val="1"/>
        </w:numPr>
        <w:rPr>
          <w:sz w:val="28"/>
          <w:szCs w:val="28"/>
        </w:rPr>
      </w:pPr>
      <w:r w:rsidRPr="002031BB">
        <w:rPr>
          <w:sz w:val="28"/>
          <w:szCs w:val="28"/>
        </w:rPr>
        <w:t xml:space="preserve">In February, after all of the information has been reviewed numerous times, the CTC Counselor compiles a list of accepted students from each school and emails the list to each school counselor. </w:t>
      </w:r>
    </w:p>
    <w:p w14:paraId="62EF802A" w14:textId="77777777" w:rsidR="00D02853" w:rsidRPr="002031BB" w:rsidRDefault="00D02853" w:rsidP="00D02853">
      <w:pPr>
        <w:pStyle w:val="ListParagraph"/>
        <w:numPr>
          <w:ilvl w:val="0"/>
          <w:numId w:val="1"/>
        </w:numPr>
        <w:rPr>
          <w:sz w:val="28"/>
          <w:szCs w:val="28"/>
        </w:rPr>
      </w:pPr>
      <w:r w:rsidRPr="002031BB">
        <w:rPr>
          <w:sz w:val="28"/>
          <w:szCs w:val="28"/>
        </w:rPr>
        <w:t>The school will then identify students with IEP’s.</w:t>
      </w:r>
    </w:p>
    <w:p w14:paraId="1914B283" w14:textId="77777777" w:rsidR="00D02853" w:rsidRPr="002031BB" w:rsidRDefault="00D02853" w:rsidP="00D02853">
      <w:pPr>
        <w:pStyle w:val="ListParagraph"/>
        <w:numPr>
          <w:ilvl w:val="0"/>
          <w:numId w:val="1"/>
        </w:numPr>
        <w:rPr>
          <w:sz w:val="28"/>
          <w:szCs w:val="28"/>
        </w:rPr>
      </w:pPr>
      <w:r w:rsidRPr="002031BB">
        <w:rPr>
          <w:sz w:val="28"/>
          <w:szCs w:val="28"/>
        </w:rPr>
        <w:t xml:space="preserve">The SSC or another CTC representative must be invited to ALL IEP meetings for students that have been accepted by the CTC. The process allows for the CTC representative to further explain the requirements for the specific program. The SPED teacher at the school, parent, student and CTC representative will then determine if the program is a good choice for the student. </w:t>
      </w:r>
    </w:p>
    <w:p w14:paraId="4A110A9B" w14:textId="77777777" w:rsidR="00D02853" w:rsidRPr="002031BB" w:rsidRDefault="00D02853" w:rsidP="00D02853">
      <w:pPr>
        <w:pStyle w:val="ListParagraph"/>
        <w:numPr>
          <w:ilvl w:val="0"/>
          <w:numId w:val="1"/>
        </w:numPr>
        <w:rPr>
          <w:sz w:val="28"/>
          <w:szCs w:val="28"/>
        </w:rPr>
      </w:pPr>
      <w:r w:rsidRPr="002031BB">
        <w:rPr>
          <w:sz w:val="28"/>
          <w:szCs w:val="28"/>
        </w:rPr>
        <w:t xml:space="preserve">The SSC must have a current IEP on file at the CTC. The SSC will then give the program instructor a copy of the classroom accommodations to be filed in a locked cabinet. </w:t>
      </w:r>
    </w:p>
    <w:p w14:paraId="0AD0ACEF" w14:textId="3CD6B174" w:rsidR="00D02853" w:rsidRDefault="00D02853" w:rsidP="00D02853">
      <w:pPr>
        <w:pStyle w:val="ListParagraph"/>
        <w:numPr>
          <w:ilvl w:val="0"/>
          <w:numId w:val="1"/>
        </w:numPr>
        <w:rPr>
          <w:sz w:val="28"/>
          <w:szCs w:val="28"/>
        </w:rPr>
      </w:pPr>
      <w:r w:rsidRPr="002031BB">
        <w:rPr>
          <w:sz w:val="28"/>
          <w:szCs w:val="28"/>
        </w:rPr>
        <w:t xml:space="preserve">The files will be shredded after 5 years. </w:t>
      </w:r>
    </w:p>
    <w:p w14:paraId="13627C8B" w14:textId="0134ACE9" w:rsidR="007B28F3" w:rsidRPr="002031BB" w:rsidRDefault="00760F77" w:rsidP="00D02853">
      <w:pPr>
        <w:pStyle w:val="ListParagraph"/>
        <w:numPr>
          <w:ilvl w:val="0"/>
          <w:numId w:val="1"/>
        </w:numPr>
        <w:rPr>
          <w:sz w:val="28"/>
          <w:szCs w:val="28"/>
        </w:rPr>
      </w:pPr>
      <w:r>
        <w:rPr>
          <w:sz w:val="28"/>
          <w:szCs w:val="28"/>
        </w:rPr>
        <w:t>If there is a student that enrolls after acceptance process is complete, contact the CTC for guidance.</w:t>
      </w:r>
    </w:p>
    <w:p w14:paraId="02871163" w14:textId="77777777" w:rsidR="00D02853" w:rsidRPr="002031BB" w:rsidRDefault="00D02853" w:rsidP="00D02853">
      <w:pPr>
        <w:pStyle w:val="ListParagraph"/>
        <w:numPr>
          <w:ilvl w:val="0"/>
          <w:numId w:val="1"/>
        </w:numPr>
        <w:rPr>
          <w:sz w:val="28"/>
          <w:szCs w:val="28"/>
        </w:rPr>
      </w:pPr>
      <w:r w:rsidRPr="002031BB">
        <w:rPr>
          <w:sz w:val="28"/>
          <w:szCs w:val="28"/>
        </w:rPr>
        <w:t>NO student can attend a CTC program without approval from the CTC.</w:t>
      </w:r>
    </w:p>
    <w:p w14:paraId="12B2BE29" w14:textId="77777777" w:rsidR="00D02853" w:rsidRPr="002031BB" w:rsidRDefault="00D02853" w:rsidP="00D02853">
      <w:pPr>
        <w:pStyle w:val="ListParagraph"/>
        <w:rPr>
          <w:sz w:val="28"/>
          <w:szCs w:val="28"/>
        </w:rPr>
      </w:pPr>
    </w:p>
    <w:p w14:paraId="6E35F167" w14:textId="77777777" w:rsidR="00D02853" w:rsidRDefault="00D02853" w:rsidP="00D02853">
      <w:pPr>
        <w:pStyle w:val="ListParagraph"/>
      </w:pPr>
    </w:p>
    <w:p w14:paraId="4F8FDC96" w14:textId="6FBBD7BF" w:rsidR="00890626" w:rsidRPr="00890626" w:rsidRDefault="00890626" w:rsidP="005B7090">
      <w:pPr>
        <w:ind w:right="-180"/>
        <w:rPr>
          <w:szCs w:val="24"/>
        </w:rPr>
      </w:pPr>
    </w:p>
    <w:sectPr w:rsidR="00890626" w:rsidRPr="00890626" w:rsidSect="00B03AD8">
      <w:pgSz w:w="12240" w:h="15840"/>
      <w:pgMar w:top="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52D7F"/>
    <w:multiLevelType w:val="hybridMultilevel"/>
    <w:tmpl w:val="4B8A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C9"/>
    <w:rsid w:val="000233EB"/>
    <w:rsid w:val="00041702"/>
    <w:rsid w:val="000B35F5"/>
    <w:rsid w:val="00125138"/>
    <w:rsid w:val="0022740C"/>
    <w:rsid w:val="00552D38"/>
    <w:rsid w:val="00553A55"/>
    <w:rsid w:val="005743A9"/>
    <w:rsid w:val="005A0F53"/>
    <w:rsid w:val="005B7090"/>
    <w:rsid w:val="00747438"/>
    <w:rsid w:val="00760F77"/>
    <w:rsid w:val="007B28F3"/>
    <w:rsid w:val="007D062E"/>
    <w:rsid w:val="007F3ECA"/>
    <w:rsid w:val="00854C2C"/>
    <w:rsid w:val="00874A09"/>
    <w:rsid w:val="00883394"/>
    <w:rsid w:val="00890626"/>
    <w:rsid w:val="008D5C12"/>
    <w:rsid w:val="008F6D8E"/>
    <w:rsid w:val="00A379BB"/>
    <w:rsid w:val="00A614B6"/>
    <w:rsid w:val="00A76289"/>
    <w:rsid w:val="00B03AD8"/>
    <w:rsid w:val="00B67C69"/>
    <w:rsid w:val="00B900AF"/>
    <w:rsid w:val="00CD2709"/>
    <w:rsid w:val="00D0238C"/>
    <w:rsid w:val="00D02853"/>
    <w:rsid w:val="00D26A42"/>
    <w:rsid w:val="00E11663"/>
    <w:rsid w:val="00E235F0"/>
    <w:rsid w:val="00EA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6F16"/>
  <w15:chartTrackingRefBased/>
  <w15:docId w15:val="{A3166EAE-2820-4BEA-B0B4-2384F2F5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6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552D38"/>
    <w:rPr>
      <w:smallCaps/>
      <w:color w:val="5A5A5A" w:themeColor="text1" w:themeTint="A5"/>
    </w:rPr>
  </w:style>
  <w:style w:type="character" w:styleId="SubtleEmphasis">
    <w:name w:val="Subtle Emphasis"/>
    <w:basedOn w:val="DefaultParagraphFont"/>
    <w:uiPriority w:val="19"/>
    <w:qFormat/>
    <w:rsid w:val="00874A09"/>
    <w:rPr>
      <w:i/>
      <w:iCs/>
      <w:color w:val="404040" w:themeColor="text1" w:themeTint="BF"/>
    </w:rPr>
  </w:style>
  <w:style w:type="paragraph" w:styleId="NoSpacing">
    <w:name w:val="No Spacing"/>
    <w:uiPriority w:val="1"/>
    <w:qFormat/>
    <w:rsid w:val="007D062E"/>
  </w:style>
  <w:style w:type="character" w:customStyle="1" w:styleId="Heading1Char">
    <w:name w:val="Heading 1 Char"/>
    <w:basedOn w:val="DefaultParagraphFont"/>
    <w:link w:val="Heading1"/>
    <w:uiPriority w:val="9"/>
    <w:rsid w:val="007D062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27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70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76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89"/>
    <w:rPr>
      <w:rFonts w:ascii="Segoe UI" w:hAnsi="Segoe UI" w:cs="Segoe UI"/>
      <w:sz w:val="18"/>
      <w:szCs w:val="18"/>
    </w:rPr>
  </w:style>
  <w:style w:type="paragraph" w:styleId="ListParagraph">
    <w:name w:val="List Paragraph"/>
    <w:basedOn w:val="Normal"/>
    <w:uiPriority w:val="34"/>
    <w:qFormat/>
    <w:rsid w:val="00D02853"/>
    <w:pPr>
      <w:ind w:left="720"/>
      <w:contextualSpacing/>
    </w:pPr>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7281-92F8-8948-99A5-90F181DB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Moshiach</dc:creator>
  <cp:keywords/>
  <dc:description/>
  <cp:lastModifiedBy>Misty Lacefield</cp:lastModifiedBy>
  <cp:revision>2</cp:revision>
  <cp:lastPrinted>2020-09-10T17:56:00Z</cp:lastPrinted>
  <dcterms:created xsi:type="dcterms:W3CDTF">2020-09-10T18:39:00Z</dcterms:created>
  <dcterms:modified xsi:type="dcterms:W3CDTF">2020-09-10T18:39:00Z</dcterms:modified>
</cp:coreProperties>
</file>